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AA" w:rsidRDefault="00E76BAA" w:rsidP="00E76B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Os pormenores da imunidade reforçada vêm nos artigos 14º e 15º da lei que define o estatuto dos membros do Conselho de Estado (CE). No 14º lê-se que “</w:t>
      </w:r>
      <w:r>
        <w:rPr>
          <w:rStyle w:val="Forte"/>
          <w:color w:val="333333"/>
          <w:sz w:val="30"/>
          <w:szCs w:val="30"/>
          <w:bdr w:val="none" w:sz="0" w:space="0" w:color="auto" w:frame="1"/>
        </w:rPr>
        <w:t>nenhum membro do Conselho de Estado pode ser detido ou preso sem autorização, salvo por crime punível com pena maior e em flagrante delito</w:t>
      </w:r>
      <w:r>
        <w:rPr>
          <w:color w:val="333333"/>
          <w:sz w:val="30"/>
          <w:szCs w:val="30"/>
        </w:rPr>
        <w:t>”. E o entendimento sobre crime punível com pena maior é que são crimes sujeitos a penas superiores a 5 anos.</w:t>
      </w:r>
    </w:p>
    <w:p w:rsidR="00E76BAA" w:rsidRDefault="00E76BAA" w:rsidP="00E76BAA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No caso de ser movido um procedimento criminal contra um conselheiro, sendo este “indiciado definitivamente por despacho de pronúncia ou equivalente, salvo no caso de crime punível com pena maior, o Conselho decidirá se aquele deve ou não ser suspenso para efeito de seguimento do processo”.</w:t>
      </w:r>
    </w:p>
    <w:p w:rsidR="00E76BAA" w:rsidRDefault="00E76BAA" w:rsidP="00E76BAA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No artigo seguinte, sobre a intervenção dos conselheiros em processos judiciais, a lei diz que estão impedidos “da função de jurados” e “não podem ser peritos, testemunhas ou declarantes sem autorização do Conselho”.</w:t>
      </w:r>
    </w:p>
    <w:p w:rsidR="00F016ED" w:rsidRDefault="00F016ED">
      <w:bookmarkStart w:id="0" w:name="_GoBack"/>
      <w:bookmarkEnd w:id="0"/>
    </w:p>
    <w:sectPr w:rsidR="00F01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AA"/>
    <w:rsid w:val="00E76BAA"/>
    <w:rsid w:val="00F0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A77C7-58A8-4142-A633-621C894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E76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Sousa</dc:creator>
  <cp:keywords/>
  <dc:description/>
  <cp:lastModifiedBy>Jorge Sousa</cp:lastModifiedBy>
  <cp:revision>1</cp:revision>
  <dcterms:created xsi:type="dcterms:W3CDTF">2024-02-06T12:35:00Z</dcterms:created>
  <dcterms:modified xsi:type="dcterms:W3CDTF">2024-02-06T12:36:00Z</dcterms:modified>
</cp:coreProperties>
</file>